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3D" w:rsidRDefault="00475A3D" w:rsidP="00475A3D">
      <w:pPr>
        <w:spacing w:line="360" w:lineRule="auto"/>
        <w:rPr>
          <w:rFonts w:ascii="Arial" w:hAnsi="Arial" w:cs="Arial"/>
          <w:sz w:val="24"/>
          <w:szCs w:val="24"/>
        </w:rPr>
      </w:pPr>
      <w:bookmarkStart w:id="0" w:name="_GoBack"/>
      <w:bookmarkEnd w:id="0"/>
      <w:r>
        <w:rPr>
          <w:rFonts w:ascii="Arial" w:hAnsi="Arial" w:cs="Arial"/>
          <w:sz w:val="24"/>
          <w:szCs w:val="24"/>
        </w:rPr>
        <w:t xml:space="preserve">Timm Kunstreich                                                                                 </w:t>
      </w:r>
      <w:r w:rsidR="00837AC0">
        <w:rPr>
          <w:rFonts w:ascii="Arial" w:hAnsi="Arial" w:cs="Arial"/>
          <w:sz w:val="24"/>
          <w:szCs w:val="24"/>
        </w:rPr>
        <w:t>08.09</w:t>
      </w:r>
      <w:r>
        <w:rPr>
          <w:rFonts w:ascii="Arial" w:hAnsi="Arial" w:cs="Arial"/>
          <w:sz w:val="24"/>
          <w:szCs w:val="24"/>
        </w:rPr>
        <w:t>.2014</w:t>
      </w:r>
    </w:p>
    <w:p w:rsidR="00475A3D" w:rsidRPr="00475A3D" w:rsidRDefault="00475A3D" w:rsidP="00137E3F">
      <w:pPr>
        <w:rPr>
          <w:rFonts w:ascii="Arial" w:hAnsi="Arial" w:cs="Arial"/>
          <w:b/>
          <w:sz w:val="24"/>
          <w:szCs w:val="24"/>
        </w:rPr>
      </w:pPr>
      <w:r w:rsidRPr="00475A3D">
        <w:rPr>
          <w:rFonts w:ascii="Arial" w:hAnsi="Arial" w:cs="Arial"/>
          <w:b/>
          <w:sz w:val="24"/>
          <w:szCs w:val="24"/>
        </w:rPr>
        <w:t xml:space="preserve">Anregungen </w:t>
      </w:r>
      <w:r w:rsidR="00837AC0">
        <w:rPr>
          <w:rFonts w:ascii="Arial" w:hAnsi="Arial" w:cs="Arial"/>
          <w:b/>
          <w:sz w:val="24"/>
          <w:szCs w:val="24"/>
        </w:rPr>
        <w:t>zur Operationalisierung</w:t>
      </w:r>
    </w:p>
    <w:p w:rsidR="00475A3D" w:rsidRPr="003F1BA1" w:rsidRDefault="00837AC0" w:rsidP="00137E3F">
      <w:pPr>
        <w:rPr>
          <w:rFonts w:ascii="Arial" w:hAnsi="Arial" w:cs="Arial"/>
          <w:sz w:val="24"/>
          <w:szCs w:val="24"/>
        </w:rPr>
      </w:pPr>
      <w:r w:rsidRPr="003F1BA1">
        <w:rPr>
          <w:rFonts w:ascii="Arial" w:hAnsi="Arial" w:cs="Arial"/>
          <w:sz w:val="24"/>
          <w:szCs w:val="24"/>
        </w:rPr>
        <w:t xml:space="preserve">Vorschlag </w:t>
      </w:r>
      <w:r w:rsidR="00475A3D" w:rsidRPr="003F1BA1">
        <w:rPr>
          <w:rFonts w:ascii="Arial" w:hAnsi="Arial" w:cs="Arial"/>
          <w:sz w:val="24"/>
          <w:szCs w:val="24"/>
        </w:rPr>
        <w:t xml:space="preserve">für ein empirisches Rahmenkonzept zur Auswertung </w:t>
      </w:r>
      <w:r w:rsidRPr="003F1BA1">
        <w:rPr>
          <w:rFonts w:ascii="Arial" w:hAnsi="Arial" w:cs="Arial"/>
          <w:sz w:val="24"/>
          <w:szCs w:val="24"/>
        </w:rPr>
        <w:t>de</w:t>
      </w:r>
      <w:r w:rsidR="00475A3D" w:rsidRPr="003F1BA1">
        <w:rPr>
          <w:rFonts w:ascii="Arial" w:hAnsi="Arial" w:cs="Arial"/>
          <w:sz w:val="24"/>
          <w:szCs w:val="24"/>
        </w:rPr>
        <w:t>s „Aufrufs“</w:t>
      </w:r>
    </w:p>
    <w:p w:rsidR="00837AC0" w:rsidRDefault="00837AC0" w:rsidP="00137E3F">
      <w:pPr>
        <w:rPr>
          <w:rFonts w:ascii="Arial" w:hAnsi="Arial" w:cs="Arial"/>
          <w:sz w:val="24"/>
          <w:szCs w:val="24"/>
        </w:rPr>
      </w:pPr>
      <w:r>
        <w:rPr>
          <w:rFonts w:ascii="Arial" w:hAnsi="Arial" w:cs="Arial"/>
          <w:sz w:val="24"/>
          <w:szCs w:val="24"/>
        </w:rPr>
        <w:t>„Dressur zur Mündigkeit?“ des AKS Hamburg vom</w:t>
      </w:r>
      <w:r w:rsidR="00CC7C00">
        <w:rPr>
          <w:rFonts w:ascii="Arial" w:hAnsi="Arial" w:cs="Arial"/>
          <w:sz w:val="24"/>
          <w:szCs w:val="24"/>
        </w:rPr>
        <w:t xml:space="preserve"> </w:t>
      </w:r>
      <w:r>
        <w:rPr>
          <w:rFonts w:ascii="Arial" w:hAnsi="Arial" w:cs="Arial"/>
          <w:sz w:val="24"/>
          <w:szCs w:val="24"/>
        </w:rPr>
        <w:t>14.07.2014</w:t>
      </w:r>
    </w:p>
    <w:p w:rsidR="00CC7C00" w:rsidRDefault="00CC7C00" w:rsidP="00137E3F">
      <w:pPr>
        <w:rPr>
          <w:rFonts w:ascii="Arial" w:hAnsi="Arial" w:cs="Arial"/>
          <w:sz w:val="24"/>
          <w:szCs w:val="24"/>
        </w:rPr>
      </w:pPr>
    </w:p>
    <w:p w:rsidR="003F1BA1" w:rsidRPr="003F1BA1" w:rsidRDefault="003F1BA1" w:rsidP="00CF5DAC">
      <w:pPr>
        <w:pStyle w:val="Listenabsatz"/>
        <w:numPr>
          <w:ilvl w:val="0"/>
          <w:numId w:val="2"/>
        </w:numPr>
        <w:rPr>
          <w:rFonts w:ascii="Arial" w:hAnsi="Arial" w:cs="Arial"/>
          <w:b/>
          <w:sz w:val="24"/>
          <w:szCs w:val="24"/>
        </w:rPr>
      </w:pPr>
      <w:r w:rsidRPr="003F1BA1">
        <w:rPr>
          <w:rFonts w:ascii="Arial" w:hAnsi="Arial" w:cs="Arial"/>
          <w:b/>
          <w:sz w:val="24"/>
          <w:szCs w:val="24"/>
        </w:rPr>
        <w:t>Vorüberlegung</w:t>
      </w:r>
    </w:p>
    <w:p w:rsidR="00837AC0" w:rsidRDefault="00837AC0" w:rsidP="00CF5DAC">
      <w:pPr>
        <w:rPr>
          <w:rFonts w:ascii="Arial" w:hAnsi="Arial" w:cs="Arial"/>
          <w:sz w:val="24"/>
          <w:szCs w:val="24"/>
        </w:rPr>
      </w:pPr>
      <w:r>
        <w:rPr>
          <w:rFonts w:ascii="Arial" w:hAnsi="Arial" w:cs="Arial"/>
          <w:sz w:val="24"/>
          <w:szCs w:val="24"/>
        </w:rPr>
        <w:t xml:space="preserve">Eberhard </w:t>
      </w:r>
      <w:r w:rsidR="00475A3D">
        <w:rPr>
          <w:rFonts w:ascii="Arial" w:hAnsi="Arial" w:cs="Arial"/>
          <w:sz w:val="24"/>
          <w:szCs w:val="24"/>
        </w:rPr>
        <w:t xml:space="preserve">Mannschatz schließt seine Überlegungen mit dem (in den Grundzügen schon in der DDR entwickelten) Konzept der „gemeinsamen Aufgabenbewältigung“ – einem Konzept, das die strukturelle Hierarchie von Erzieher und Zögling in einem projektartigen und situativen Handeln „aufhebt“. Ähnliche produktive „Aufhebungen“ kennen wir von Buber, Korczak, Freire oder Bernfeld. Sie sind nicht primär institutionell gerahmt, was bedeutet, dass sie in unterschiedlichen organisatorischen und formellen Rahmen stattfinden können. Nimmt man ein derartiges situatives Projekt als den einen „Pol“ eines Spannungsverhältnisses, so lässt sich auf dem anderen Pol die Praxis geschlossener Unterbringung in Form „totaler Institutionen“ denken – Manfred Kappeler hat das in Heft 129 </w:t>
      </w:r>
      <w:r>
        <w:rPr>
          <w:rFonts w:ascii="Arial" w:hAnsi="Arial" w:cs="Arial"/>
          <w:sz w:val="24"/>
          <w:szCs w:val="24"/>
        </w:rPr>
        <w:t xml:space="preserve">der WIDERSPRÜCHE </w:t>
      </w:r>
      <w:r w:rsidR="00475A3D">
        <w:rPr>
          <w:rFonts w:ascii="Arial" w:hAnsi="Arial" w:cs="Arial"/>
          <w:sz w:val="24"/>
          <w:szCs w:val="24"/>
        </w:rPr>
        <w:t xml:space="preserve">noch einmal prägnant zusammengefasst. </w:t>
      </w:r>
    </w:p>
    <w:p w:rsidR="00475A3D" w:rsidRDefault="00475A3D" w:rsidP="00CF5DAC">
      <w:pPr>
        <w:rPr>
          <w:rFonts w:ascii="Arial" w:hAnsi="Arial" w:cs="Arial"/>
          <w:sz w:val="24"/>
          <w:szCs w:val="24"/>
        </w:rPr>
      </w:pPr>
      <w:r>
        <w:rPr>
          <w:rFonts w:ascii="Arial" w:hAnsi="Arial" w:cs="Arial"/>
          <w:sz w:val="24"/>
          <w:szCs w:val="24"/>
        </w:rPr>
        <w:t xml:space="preserve">Ein besonderes Kennzeichen geschlossener Unterbringung ist die Identität von räumlicher und sozialer Ausschließung. Versucht man das Spannungsverhältnis zwischen den beiden Polen differenzierter zu betrachten, so fällt auf, dass räumliche und soziale Ausschließung </w:t>
      </w:r>
      <w:r w:rsidRPr="009C1C11">
        <w:rPr>
          <w:rFonts w:ascii="Arial" w:hAnsi="Arial" w:cs="Arial"/>
          <w:i/>
          <w:sz w:val="24"/>
          <w:szCs w:val="24"/>
        </w:rPr>
        <w:t>auseinander</w:t>
      </w:r>
      <w:r>
        <w:rPr>
          <w:rFonts w:ascii="Arial" w:hAnsi="Arial" w:cs="Arial"/>
          <w:sz w:val="24"/>
          <w:szCs w:val="24"/>
        </w:rPr>
        <w:t xml:space="preserve"> treten können. Beispielhaft sei das an dem, wenn nicht in allen, dann doch in den meisten Heimen praktizierten „Stufenvollzug“ illustriert. In der Eingangsphase (A-Gruppe; Diagnostik;… die Bezeichnungen sind verschieden) sind häufig (nicht immer) räumliche und soziale Ausschließung identisch, in den B-Gruppen/-Phasen gibt es Lockerungen, vor allem was die räumliche Einschließung angeht. In der dritten Phase gibt es eine relativ hohe Bewegungsfreiheit – die Qualität des Auseinandertretens von räumlicher und sozialer Einschließung lässt sich symbolisch an der Frage der „Schlüsselgewalt“ ablesen: Wer darf welchen Raum betreten? </w:t>
      </w:r>
    </w:p>
    <w:p w:rsidR="00475A3D" w:rsidRDefault="00475A3D" w:rsidP="00CF5DAC">
      <w:pPr>
        <w:rPr>
          <w:rFonts w:ascii="Arial" w:hAnsi="Arial" w:cs="Arial"/>
          <w:sz w:val="24"/>
          <w:szCs w:val="24"/>
        </w:rPr>
      </w:pPr>
      <w:r>
        <w:rPr>
          <w:rFonts w:ascii="Arial" w:hAnsi="Arial" w:cs="Arial"/>
          <w:sz w:val="24"/>
          <w:szCs w:val="24"/>
        </w:rPr>
        <w:t>Überall dort – so lässt sich schlussfolgern – wo konsensual Zeiten und Orte und was dort geschehen soll als „gemeinsame Aufgabenbewältigung“ geplant und realisiert werden, kommt es zu Erfahrungen von Ko-Operationen im Sinne von Klaus Türk, der damit die Praxen von Assoziationen meint, die sich jenseits herrschaftlicher Organisation bilden.</w:t>
      </w:r>
    </w:p>
    <w:p w:rsidR="00CC7C00" w:rsidRDefault="00CC7C00" w:rsidP="00CF5DAC">
      <w:pPr>
        <w:rPr>
          <w:rFonts w:ascii="Arial" w:hAnsi="Arial" w:cs="Arial"/>
          <w:sz w:val="24"/>
          <w:szCs w:val="24"/>
        </w:rPr>
      </w:pPr>
      <w:r>
        <w:rPr>
          <w:rFonts w:ascii="Arial" w:hAnsi="Arial" w:cs="Arial"/>
          <w:sz w:val="24"/>
          <w:szCs w:val="24"/>
        </w:rPr>
        <w:t>In und zwischen den beiden Polen bilden sich vielfältige</w:t>
      </w:r>
      <w:r w:rsidR="00475A3D">
        <w:rPr>
          <w:rFonts w:ascii="Arial" w:hAnsi="Arial" w:cs="Arial"/>
          <w:sz w:val="24"/>
          <w:szCs w:val="24"/>
        </w:rPr>
        <w:t xml:space="preserve"> Relationsmuster</w:t>
      </w:r>
      <w:r>
        <w:rPr>
          <w:rFonts w:ascii="Arial" w:hAnsi="Arial" w:cs="Arial"/>
          <w:sz w:val="24"/>
          <w:szCs w:val="24"/>
        </w:rPr>
        <w:t>. An ihnen</w:t>
      </w:r>
      <w:r w:rsidR="00475A3D">
        <w:rPr>
          <w:rFonts w:ascii="Arial" w:hAnsi="Arial" w:cs="Arial"/>
          <w:sz w:val="24"/>
          <w:szCs w:val="24"/>
        </w:rPr>
        <w:t xml:space="preserve"> können exemplarisch unterschiedliche</w:t>
      </w:r>
      <w:r>
        <w:rPr>
          <w:rFonts w:ascii="Arial" w:hAnsi="Arial" w:cs="Arial"/>
          <w:sz w:val="24"/>
          <w:szCs w:val="24"/>
        </w:rPr>
        <w:t xml:space="preserve"> Formen von Heimerziehung und -</w:t>
      </w:r>
      <w:r w:rsidR="00475A3D">
        <w:rPr>
          <w:rFonts w:ascii="Arial" w:hAnsi="Arial" w:cs="Arial"/>
          <w:sz w:val="24"/>
          <w:szCs w:val="24"/>
        </w:rPr>
        <w:t>erfahrung r</w:t>
      </w:r>
      <w:r w:rsidR="00837AC0">
        <w:rPr>
          <w:rFonts w:ascii="Arial" w:hAnsi="Arial" w:cs="Arial"/>
          <w:sz w:val="24"/>
          <w:szCs w:val="24"/>
        </w:rPr>
        <w:t>ekonstruiert werden. Dabei lässt</w:t>
      </w:r>
      <w:r w:rsidR="00475A3D">
        <w:rPr>
          <w:rFonts w:ascii="Arial" w:hAnsi="Arial" w:cs="Arial"/>
          <w:sz w:val="24"/>
          <w:szCs w:val="24"/>
        </w:rPr>
        <w:t xml:space="preserve"> sich </w:t>
      </w:r>
      <w:r>
        <w:rPr>
          <w:rFonts w:ascii="Arial" w:hAnsi="Arial" w:cs="Arial"/>
          <w:sz w:val="24"/>
          <w:szCs w:val="24"/>
        </w:rPr>
        <w:t xml:space="preserve">historisch rückblickend </w:t>
      </w:r>
      <w:r w:rsidR="00475A3D">
        <w:rPr>
          <w:rFonts w:ascii="Arial" w:hAnsi="Arial" w:cs="Arial"/>
          <w:sz w:val="24"/>
          <w:szCs w:val="24"/>
        </w:rPr>
        <w:t xml:space="preserve">folgende Hypothese aufstellen: </w:t>
      </w:r>
    </w:p>
    <w:p w:rsidR="00475A3D" w:rsidRPr="00CC7C00" w:rsidRDefault="00475A3D" w:rsidP="00CF5DAC">
      <w:pPr>
        <w:rPr>
          <w:rFonts w:ascii="Arial" w:hAnsi="Arial" w:cs="Arial"/>
          <w:i/>
          <w:sz w:val="24"/>
          <w:szCs w:val="24"/>
        </w:rPr>
      </w:pPr>
      <w:r w:rsidRPr="00CC7C00">
        <w:rPr>
          <w:rFonts w:ascii="Arial" w:hAnsi="Arial" w:cs="Arial"/>
          <w:i/>
          <w:sz w:val="24"/>
          <w:szCs w:val="24"/>
        </w:rPr>
        <w:lastRenderedPageBreak/>
        <w:t>Überall dort, wo es relativ große Einrichtungen mit „Stufenvollzug“ gab, die zugleich räumlich (Stadtrand/grüne Wiese) und sozial („Fürsorgeheime“; „Jugendwerkhöfe“) stigmatisiert waren, dominierten Interaktionen und Verkehrsformen der „totalen Institution“. Überall dort, wo es überschaubare und veränderbare Lebenszusammenhänge gab und wo die Einrichtung räumlich und sozial in benachbarte Systeme eingebettet war, tendierten die Situationen zu „gemeinsamen Aufgabenbewältigung“.</w:t>
      </w:r>
    </w:p>
    <w:p w:rsidR="00475A3D" w:rsidRDefault="00475A3D" w:rsidP="00CF5DAC">
      <w:pPr>
        <w:rPr>
          <w:rFonts w:ascii="Arial" w:hAnsi="Arial" w:cs="Arial"/>
          <w:sz w:val="24"/>
          <w:szCs w:val="24"/>
        </w:rPr>
      </w:pPr>
      <w:r>
        <w:rPr>
          <w:rFonts w:ascii="Arial" w:hAnsi="Arial" w:cs="Arial"/>
          <w:sz w:val="24"/>
          <w:szCs w:val="24"/>
        </w:rPr>
        <w:t>Die Stimmigkeit dieser Hypothese ließe sich sowohl an den Veränderungsprozessen im Westen (siehe meine empirischen Collage der Heimreform in Hamburg: Grundkurs, Bd. II) als auch an den wie in einem sozialen Laborexperiment während der Wende vollzogenen Veränderungen in den Heimen in Ostdeutschland plausibel überprüfen</w:t>
      </w:r>
      <w:r w:rsidR="00CC7C00">
        <w:rPr>
          <w:rFonts w:ascii="Arial" w:hAnsi="Arial" w:cs="Arial"/>
          <w:sz w:val="24"/>
          <w:szCs w:val="24"/>
        </w:rPr>
        <w:t xml:space="preserve"> (was leider nur kaum getan wurde)</w:t>
      </w:r>
      <w:r>
        <w:rPr>
          <w:rFonts w:ascii="Arial" w:hAnsi="Arial" w:cs="Arial"/>
          <w:sz w:val="24"/>
          <w:szCs w:val="24"/>
        </w:rPr>
        <w:t>. Glückstadt und Torgau waren zwar Endpunkte der Heim-Disziplinierung, waren damit Bedrohung und Erniedrigung zugleich, fordern allerdings zugleich heraus, auch die Heimsituationen zu untersuchen, die am Pol der „gemeinsamen Aufgabenbewältigung“ standen und stehen.</w:t>
      </w:r>
    </w:p>
    <w:p w:rsidR="00475A3D" w:rsidRDefault="003F1BA1" w:rsidP="00CF5DAC">
      <w:pPr>
        <w:rPr>
          <w:rFonts w:ascii="Arial" w:hAnsi="Arial" w:cs="Arial"/>
          <w:sz w:val="24"/>
          <w:szCs w:val="24"/>
        </w:rPr>
      </w:pPr>
      <w:r>
        <w:rPr>
          <w:rFonts w:ascii="Arial" w:hAnsi="Arial" w:cs="Arial"/>
          <w:sz w:val="24"/>
          <w:szCs w:val="24"/>
        </w:rPr>
        <w:t>A</w:t>
      </w:r>
      <w:r w:rsidR="00475A3D">
        <w:rPr>
          <w:rFonts w:ascii="Arial" w:hAnsi="Arial" w:cs="Arial"/>
          <w:sz w:val="24"/>
          <w:szCs w:val="24"/>
        </w:rPr>
        <w:t>uf Basis dieser Folie</w:t>
      </w:r>
      <w:r w:rsidR="00CC7C00">
        <w:rPr>
          <w:rFonts w:ascii="Arial" w:hAnsi="Arial" w:cs="Arial"/>
          <w:sz w:val="24"/>
          <w:szCs w:val="24"/>
        </w:rPr>
        <w:t xml:space="preserve"> la</w:t>
      </w:r>
      <w:r>
        <w:rPr>
          <w:rFonts w:ascii="Arial" w:hAnsi="Arial" w:cs="Arial"/>
          <w:sz w:val="24"/>
          <w:szCs w:val="24"/>
        </w:rPr>
        <w:t>ss</w:t>
      </w:r>
      <w:r w:rsidR="00CC7C00">
        <w:rPr>
          <w:rFonts w:ascii="Arial" w:hAnsi="Arial" w:cs="Arial"/>
          <w:sz w:val="24"/>
          <w:szCs w:val="24"/>
        </w:rPr>
        <w:t>en</w:t>
      </w:r>
      <w:r>
        <w:rPr>
          <w:rFonts w:ascii="Arial" w:hAnsi="Arial" w:cs="Arial"/>
          <w:sz w:val="24"/>
          <w:szCs w:val="24"/>
        </w:rPr>
        <w:t xml:space="preserve"> sich</w:t>
      </w:r>
      <w:r w:rsidR="00475A3D">
        <w:rPr>
          <w:rFonts w:ascii="Arial" w:hAnsi="Arial" w:cs="Arial"/>
          <w:sz w:val="24"/>
          <w:szCs w:val="24"/>
        </w:rPr>
        <w:t xml:space="preserve"> die heute sogenannten Grauzonen der geschlossenen Unterbringung erhellen: die vielfältigen Formen der „gestuften“ sozialen Ausschließung dürften heute noch immer dominieren, zum Teil unter dem Vorwand von „Kinderschutz“ sogar noch ansteigen.</w:t>
      </w:r>
    </w:p>
    <w:p w:rsidR="003F1BA1" w:rsidRDefault="003F1BA1" w:rsidP="00CF5DAC">
      <w:pPr>
        <w:pStyle w:val="Listenabsatz"/>
        <w:numPr>
          <w:ilvl w:val="0"/>
          <w:numId w:val="2"/>
        </w:numPr>
        <w:rPr>
          <w:rFonts w:ascii="Arial" w:hAnsi="Arial" w:cs="Arial"/>
          <w:b/>
          <w:sz w:val="24"/>
          <w:szCs w:val="24"/>
        </w:rPr>
      </w:pPr>
      <w:r w:rsidRPr="003F1BA1">
        <w:rPr>
          <w:rFonts w:ascii="Arial" w:hAnsi="Arial" w:cs="Arial"/>
          <w:b/>
          <w:sz w:val="24"/>
          <w:szCs w:val="24"/>
        </w:rPr>
        <w:t>Operationalisierung der Räume zwischen den beiden Polen</w:t>
      </w:r>
    </w:p>
    <w:p w:rsidR="00CA58FC" w:rsidRDefault="001E658D" w:rsidP="00CF5DAC">
      <w:pPr>
        <w:rPr>
          <w:rFonts w:ascii="Arial" w:hAnsi="Arial" w:cs="Arial"/>
          <w:sz w:val="24"/>
          <w:szCs w:val="24"/>
        </w:rPr>
      </w:pPr>
      <w:r w:rsidRPr="001E658D">
        <w:rPr>
          <w:rFonts w:ascii="Arial" w:hAnsi="Arial" w:cs="Arial"/>
          <w:sz w:val="24"/>
          <w:szCs w:val="24"/>
        </w:rPr>
        <w:t xml:space="preserve">Um die Räume zwischen den beiden Polen „totale Institution“ und „gemeinsame Aufgabenbewältigung“ </w:t>
      </w:r>
      <w:r>
        <w:rPr>
          <w:rFonts w:ascii="Arial" w:hAnsi="Arial" w:cs="Arial"/>
          <w:sz w:val="24"/>
          <w:szCs w:val="24"/>
        </w:rPr>
        <w:t xml:space="preserve">genauer zu bestimmen, soll auf das Konzept der Relationsmuster zurückgegriffen werden, wie es Marcus Hußmann (2011) entwickelt hat  und wie ich es in der Sozialraum-Analyse zweier Stadtteile (2012) erweitert habe. Sechs derartige Relationsmuster sollen das zunehmende Auseinandertreten von räumlicher </w:t>
      </w:r>
      <w:r w:rsidR="00CF5DAC">
        <w:rPr>
          <w:rFonts w:ascii="Arial" w:hAnsi="Arial" w:cs="Arial"/>
          <w:sz w:val="24"/>
          <w:szCs w:val="24"/>
        </w:rPr>
        <w:t xml:space="preserve">Einschließung </w:t>
      </w:r>
      <w:r w:rsidR="00CC7C00">
        <w:rPr>
          <w:rFonts w:ascii="Arial" w:hAnsi="Arial" w:cs="Arial"/>
          <w:sz w:val="24"/>
          <w:szCs w:val="24"/>
        </w:rPr>
        <w:t>und</w:t>
      </w:r>
      <w:r w:rsidR="00CF5DAC">
        <w:rPr>
          <w:rFonts w:ascii="Arial" w:hAnsi="Arial" w:cs="Arial"/>
          <w:sz w:val="24"/>
          <w:szCs w:val="24"/>
        </w:rPr>
        <w:t xml:space="preserve"> </w:t>
      </w:r>
      <w:r>
        <w:rPr>
          <w:rFonts w:ascii="Arial" w:hAnsi="Arial" w:cs="Arial"/>
          <w:sz w:val="24"/>
          <w:szCs w:val="24"/>
        </w:rPr>
        <w:t>sozialer Ausgrenzung in einer Weise</w:t>
      </w:r>
      <w:r w:rsidR="00E27ADC">
        <w:rPr>
          <w:rFonts w:ascii="Arial" w:hAnsi="Arial" w:cs="Arial"/>
          <w:sz w:val="24"/>
          <w:szCs w:val="24"/>
        </w:rPr>
        <w:t xml:space="preserve"> </w:t>
      </w:r>
      <w:r w:rsidR="00137E3F">
        <w:rPr>
          <w:rFonts w:ascii="Arial" w:hAnsi="Arial" w:cs="Arial"/>
          <w:sz w:val="24"/>
          <w:szCs w:val="24"/>
        </w:rPr>
        <w:t>m</w:t>
      </w:r>
      <w:r>
        <w:rPr>
          <w:rFonts w:ascii="Arial" w:hAnsi="Arial" w:cs="Arial"/>
          <w:sz w:val="24"/>
          <w:szCs w:val="24"/>
        </w:rPr>
        <w:t>arkieren, dass Texte der Selbstdarstellung von Trägern der Hilfen zur Erziehung nach</w:t>
      </w:r>
      <w:r w:rsidR="00CC7C00">
        <w:rPr>
          <w:rFonts w:ascii="Arial" w:hAnsi="Arial" w:cs="Arial"/>
          <w:sz w:val="24"/>
          <w:szCs w:val="24"/>
        </w:rPr>
        <w:t xml:space="preserve"> Merkmalen und Indikatoren inaltsanalytisch</w:t>
      </w:r>
      <w:r>
        <w:rPr>
          <w:rFonts w:ascii="Arial" w:hAnsi="Arial" w:cs="Arial"/>
          <w:sz w:val="24"/>
          <w:szCs w:val="24"/>
        </w:rPr>
        <w:t xml:space="preserve"> zugeordnet werden können. </w:t>
      </w:r>
    </w:p>
    <w:p w:rsidR="00E27ADC" w:rsidRDefault="00E27ADC" w:rsidP="00CF5DAC">
      <w:pPr>
        <w:rPr>
          <w:rFonts w:ascii="Arial" w:hAnsi="Arial" w:cs="Arial"/>
          <w:sz w:val="24"/>
          <w:szCs w:val="24"/>
        </w:rPr>
      </w:pPr>
      <w:r>
        <w:rPr>
          <w:rFonts w:ascii="Arial" w:hAnsi="Arial" w:cs="Arial"/>
          <w:sz w:val="24"/>
          <w:szCs w:val="24"/>
        </w:rPr>
        <w:t xml:space="preserve">Die sich von Relationsmuster (3) bis </w:t>
      </w:r>
      <w:r>
        <w:rPr>
          <w:rFonts w:ascii="Arial" w:hAnsi="Arial" w:cs="Arial"/>
          <w:szCs w:val="24"/>
        </w:rPr>
        <w:t xml:space="preserve">(1) </w:t>
      </w:r>
      <w:r w:rsidRPr="00E27ADC">
        <w:rPr>
          <w:rFonts w:ascii="Arial" w:hAnsi="Arial" w:cs="Arial"/>
          <w:sz w:val="24"/>
          <w:szCs w:val="24"/>
        </w:rPr>
        <w:t>steigernde</w:t>
      </w:r>
      <w:r>
        <w:rPr>
          <w:rFonts w:ascii="Arial" w:hAnsi="Arial" w:cs="Arial"/>
          <w:sz w:val="24"/>
          <w:szCs w:val="24"/>
        </w:rPr>
        <w:t xml:space="preserve"> räumliche Einschließu</w:t>
      </w:r>
      <w:r w:rsidR="000B46DA">
        <w:rPr>
          <w:rFonts w:ascii="Arial" w:hAnsi="Arial" w:cs="Arial"/>
          <w:sz w:val="24"/>
          <w:szCs w:val="24"/>
        </w:rPr>
        <w:t>ng und soziale Ausgrenzung lassen</w:t>
      </w:r>
      <w:r>
        <w:rPr>
          <w:rFonts w:ascii="Arial" w:hAnsi="Arial" w:cs="Arial"/>
          <w:sz w:val="24"/>
          <w:szCs w:val="24"/>
        </w:rPr>
        <w:t xml:space="preserve"> sich mit Hans Falck auch als „negatives Membership</w:t>
      </w:r>
      <w:r w:rsidR="00BF1C81">
        <w:rPr>
          <w:rFonts w:ascii="Arial" w:hAnsi="Arial" w:cs="Arial"/>
          <w:sz w:val="24"/>
          <w:szCs w:val="24"/>
        </w:rPr>
        <w:t>“ charakterisieren; mit ihnen wi</w:t>
      </w:r>
      <w:r>
        <w:rPr>
          <w:rFonts w:ascii="Arial" w:hAnsi="Arial" w:cs="Arial"/>
          <w:sz w:val="24"/>
          <w:szCs w:val="24"/>
        </w:rPr>
        <w:t>rd in defensiven Lernhandlungen (Klaus Holzkamp) versucht, die jeweils belastende Situation einigermaßen zu bewältigen.</w:t>
      </w:r>
    </w:p>
    <w:p w:rsidR="00CC7C00" w:rsidRDefault="00BF1C81" w:rsidP="00CF5DAC">
      <w:pPr>
        <w:rPr>
          <w:rFonts w:ascii="Arial" w:hAnsi="Arial" w:cs="Arial"/>
          <w:sz w:val="24"/>
          <w:szCs w:val="24"/>
        </w:rPr>
      </w:pPr>
      <w:r>
        <w:rPr>
          <w:rFonts w:ascii="Arial" w:hAnsi="Arial" w:cs="Arial"/>
          <w:sz w:val="24"/>
          <w:szCs w:val="24"/>
        </w:rPr>
        <w:t>Entsprechend sind</w:t>
      </w:r>
      <w:r w:rsidR="00E27ADC">
        <w:rPr>
          <w:rFonts w:ascii="Arial" w:hAnsi="Arial" w:cs="Arial"/>
          <w:sz w:val="24"/>
          <w:szCs w:val="24"/>
        </w:rPr>
        <w:t xml:space="preserve"> die </w:t>
      </w:r>
      <w:r>
        <w:rPr>
          <w:rFonts w:ascii="Arial" w:hAnsi="Arial" w:cs="Arial"/>
          <w:sz w:val="24"/>
          <w:szCs w:val="24"/>
        </w:rPr>
        <w:t>drei Relationsmuster (4) bis (6), die zu einer gemeinsamen</w:t>
      </w:r>
      <w:r w:rsidR="00E27ADC">
        <w:rPr>
          <w:rFonts w:ascii="Arial" w:hAnsi="Arial" w:cs="Arial"/>
          <w:sz w:val="24"/>
          <w:szCs w:val="24"/>
        </w:rPr>
        <w:t xml:space="preserve"> Aufgabenbewältigung</w:t>
      </w:r>
      <w:r>
        <w:rPr>
          <w:rFonts w:ascii="Arial" w:hAnsi="Arial" w:cs="Arial"/>
          <w:sz w:val="24"/>
          <w:szCs w:val="24"/>
        </w:rPr>
        <w:t xml:space="preserve"> führen können,</w:t>
      </w:r>
      <w:r w:rsidR="00E27ADC">
        <w:rPr>
          <w:rFonts w:ascii="Arial" w:hAnsi="Arial" w:cs="Arial"/>
          <w:sz w:val="24"/>
          <w:szCs w:val="24"/>
        </w:rPr>
        <w:t xml:space="preserve"> nur in einer sozialräumlichen Offenheit möglich</w:t>
      </w:r>
      <w:r>
        <w:rPr>
          <w:rFonts w:ascii="Arial" w:hAnsi="Arial" w:cs="Arial"/>
          <w:sz w:val="24"/>
          <w:szCs w:val="24"/>
        </w:rPr>
        <w:t>. Sie lassen sich</w:t>
      </w:r>
      <w:r w:rsidR="00E27ADC">
        <w:rPr>
          <w:rFonts w:ascii="Arial" w:hAnsi="Arial" w:cs="Arial"/>
          <w:sz w:val="24"/>
          <w:szCs w:val="24"/>
        </w:rPr>
        <w:t xml:space="preserve"> als </w:t>
      </w:r>
      <w:r w:rsidR="000B46DA">
        <w:rPr>
          <w:rFonts w:ascii="Arial" w:hAnsi="Arial" w:cs="Arial"/>
          <w:sz w:val="24"/>
          <w:szCs w:val="24"/>
        </w:rPr>
        <w:t>„</w:t>
      </w:r>
      <w:r w:rsidR="00E27ADC">
        <w:rPr>
          <w:rFonts w:ascii="Arial" w:hAnsi="Arial" w:cs="Arial"/>
          <w:sz w:val="24"/>
          <w:szCs w:val="24"/>
        </w:rPr>
        <w:t>positives Member</w:t>
      </w:r>
      <w:r>
        <w:rPr>
          <w:rFonts w:ascii="Arial" w:hAnsi="Arial" w:cs="Arial"/>
          <w:sz w:val="24"/>
          <w:szCs w:val="24"/>
        </w:rPr>
        <w:t>ship</w:t>
      </w:r>
      <w:r w:rsidR="000B46DA">
        <w:rPr>
          <w:rFonts w:ascii="Arial" w:hAnsi="Arial" w:cs="Arial"/>
          <w:sz w:val="24"/>
          <w:szCs w:val="24"/>
        </w:rPr>
        <w:t>“</w:t>
      </w:r>
      <w:r w:rsidR="00E27ADC">
        <w:rPr>
          <w:rFonts w:ascii="Arial" w:hAnsi="Arial" w:cs="Arial"/>
          <w:sz w:val="24"/>
          <w:szCs w:val="24"/>
        </w:rPr>
        <w:t xml:space="preserve"> und als Raum für expansive Lernhandlungen verstehen.</w:t>
      </w:r>
    </w:p>
    <w:p w:rsidR="00CC7C00" w:rsidRDefault="00CC7C00" w:rsidP="00CF5DAC">
      <w:pPr>
        <w:rPr>
          <w:rFonts w:ascii="Arial" w:hAnsi="Arial" w:cs="Arial"/>
          <w:sz w:val="24"/>
          <w:szCs w:val="24"/>
        </w:rPr>
      </w:pPr>
    </w:p>
    <w:p w:rsidR="00CC7C00" w:rsidRPr="00CC7C00" w:rsidRDefault="00CC7C00" w:rsidP="00CF5DAC">
      <w:pPr>
        <w:rPr>
          <w:rFonts w:ascii="Arial" w:hAnsi="Arial" w:cs="Arial"/>
          <w:b/>
          <w:sz w:val="24"/>
          <w:szCs w:val="24"/>
        </w:rPr>
      </w:pPr>
      <w:r w:rsidRPr="00CC7C00">
        <w:rPr>
          <w:rFonts w:ascii="Arial" w:hAnsi="Arial" w:cs="Arial"/>
          <w:b/>
          <w:sz w:val="24"/>
          <w:szCs w:val="24"/>
        </w:rPr>
        <w:t>Relationsmuster der gestuften Ausschließung</w:t>
      </w:r>
    </w:p>
    <w:tbl>
      <w:tblPr>
        <w:tblStyle w:val="Tabellenraster"/>
        <w:tblpPr w:leftFromText="141" w:rightFromText="141" w:vertAnchor="text" w:horzAnchor="margin" w:tblpY="-832"/>
        <w:tblW w:w="0" w:type="auto"/>
        <w:tblLayout w:type="fixed"/>
        <w:tblLook w:val="04A0" w:firstRow="1" w:lastRow="0" w:firstColumn="1" w:lastColumn="0" w:noHBand="0" w:noVBand="1"/>
      </w:tblPr>
      <w:tblGrid>
        <w:gridCol w:w="3001"/>
        <w:gridCol w:w="2069"/>
        <w:gridCol w:w="1984"/>
        <w:gridCol w:w="2234"/>
      </w:tblGrid>
      <w:tr w:rsidR="00720BB4" w:rsidTr="00E92923">
        <w:trPr>
          <w:trHeight w:val="703"/>
        </w:trPr>
        <w:tc>
          <w:tcPr>
            <w:tcW w:w="3001" w:type="dxa"/>
            <w:tcBorders>
              <w:bottom w:val="single" w:sz="4" w:space="0" w:color="auto"/>
            </w:tcBorders>
          </w:tcPr>
          <w:p w:rsidR="00CA58FC" w:rsidRDefault="001E658D" w:rsidP="00CA58FC">
            <w:pPr>
              <w:rPr>
                <w:rFonts w:ascii="Arial" w:hAnsi="Arial" w:cs="Arial"/>
                <w:sz w:val="24"/>
                <w:szCs w:val="24"/>
              </w:rPr>
            </w:pPr>
            <w:r w:rsidRPr="001E658D">
              <w:rPr>
                <w:rFonts w:ascii="Arial" w:hAnsi="Arial" w:cs="Arial"/>
                <w:sz w:val="24"/>
                <w:szCs w:val="24"/>
              </w:rPr>
              <w:t>„totale</w:t>
            </w:r>
            <w:r>
              <w:rPr>
                <w:rFonts w:ascii="Arial" w:hAnsi="Arial" w:cs="Arial"/>
                <w:sz w:val="24"/>
                <w:szCs w:val="24"/>
              </w:rPr>
              <w:t xml:space="preserve"> Institution“</w:t>
            </w:r>
            <w:r w:rsidR="00720BB4">
              <w:rPr>
                <w:rFonts w:ascii="Arial" w:hAnsi="Arial" w:cs="Arial"/>
                <w:sz w:val="24"/>
                <w:szCs w:val="24"/>
              </w:rPr>
              <w:t>:</w:t>
            </w:r>
          </w:p>
          <w:p w:rsidR="001E658D" w:rsidRPr="001E658D" w:rsidRDefault="001E658D" w:rsidP="00CA58FC">
            <w:pPr>
              <w:rPr>
                <w:rFonts w:ascii="Arial" w:hAnsi="Arial" w:cs="Arial"/>
                <w:sz w:val="24"/>
                <w:szCs w:val="24"/>
              </w:rPr>
            </w:pPr>
            <w:r>
              <w:rPr>
                <w:rFonts w:ascii="Arial" w:hAnsi="Arial" w:cs="Arial"/>
                <w:sz w:val="24"/>
                <w:szCs w:val="24"/>
              </w:rPr>
              <w:t>Räumliche Einschließung un</w:t>
            </w:r>
            <w:r w:rsidR="00720BB4">
              <w:rPr>
                <w:rFonts w:ascii="Arial" w:hAnsi="Arial" w:cs="Arial"/>
                <w:sz w:val="24"/>
                <w:szCs w:val="24"/>
              </w:rPr>
              <w:t>d soziale</w:t>
            </w:r>
            <w:r>
              <w:rPr>
                <w:rFonts w:ascii="Arial" w:hAnsi="Arial" w:cs="Arial"/>
                <w:sz w:val="24"/>
                <w:szCs w:val="24"/>
              </w:rPr>
              <w:t xml:space="preserve"> Ausgrenzung</w:t>
            </w:r>
          </w:p>
        </w:tc>
        <w:tc>
          <w:tcPr>
            <w:tcW w:w="2069" w:type="dxa"/>
          </w:tcPr>
          <w:p w:rsidR="00B34CB3" w:rsidRDefault="00B34CB3" w:rsidP="00CA58FC">
            <w:pPr>
              <w:rPr>
                <w:rFonts w:ascii="Arial" w:hAnsi="Arial" w:cs="Arial"/>
                <w:sz w:val="24"/>
                <w:szCs w:val="24"/>
              </w:rPr>
            </w:pPr>
          </w:p>
          <w:p w:rsidR="00720BB4" w:rsidRPr="00720BB4" w:rsidRDefault="00B34CB3" w:rsidP="00B34CB3">
            <w:pPr>
              <w:rPr>
                <w:rFonts w:ascii="Arial" w:hAnsi="Arial" w:cs="Arial"/>
                <w:sz w:val="24"/>
                <w:szCs w:val="24"/>
              </w:rPr>
            </w:pPr>
            <w:r>
              <w:rPr>
                <w:rFonts w:ascii="Arial" w:hAnsi="Arial" w:cs="Arial"/>
                <w:sz w:val="24"/>
                <w:szCs w:val="24"/>
              </w:rPr>
              <w:t>p</w:t>
            </w:r>
            <w:r w:rsidR="00720BB4" w:rsidRPr="00720BB4">
              <w:rPr>
                <w:rFonts w:ascii="Arial" w:hAnsi="Arial" w:cs="Arial"/>
                <w:sz w:val="24"/>
                <w:szCs w:val="24"/>
              </w:rPr>
              <w:t>h</w:t>
            </w:r>
            <w:r>
              <w:rPr>
                <w:rFonts w:ascii="Arial" w:hAnsi="Arial" w:cs="Arial"/>
                <w:sz w:val="24"/>
                <w:szCs w:val="24"/>
              </w:rPr>
              <w:t>ysikalische</w:t>
            </w:r>
            <w:r w:rsidR="00720BB4">
              <w:rPr>
                <w:rFonts w:ascii="Arial" w:hAnsi="Arial" w:cs="Arial"/>
                <w:sz w:val="24"/>
                <w:szCs w:val="24"/>
              </w:rPr>
              <w:t xml:space="preserve"> Orte</w:t>
            </w:r>
          </w:p>
        </w:tc>
        <w:tc>
          <w:tcPr>
            <w:tcW w:w="1984" w:type="dxa"/>
          </w:tcPr>
          <w:p w:rsidR="00B34CB3" w:rsidRDefault="00B34CB3" w:rsidP="00B34CB3">
            <w:pPr>
              <w:rPr>
                <w:rFonts w:ascii="Arial" w:hAnsi="Arial" w:cs="Arial"/>
                <w:sz w:val="24"/>
                <w:szCs w:val="24"/>
              </w:rPr>
            </w:pPr>
          </w:p>
          <w:p w:rsidR="00720BB4" w:rsidRPr="00720BB4" w:rsidRDefault="00720BB4" w:rsidP="00B34CB3">
            <w:pPr>
              <w:rPr>
                <w:rFonts w:ascii="Arial" w:hAnsi="Arial" w:cs="Arial"/>
                <w:sz w:val="24"/>
                <w:szCs w:val="24"/>
              </w:rPr>
            </w:pPr>
            <w:r>
              <w:rPr>
                <w:rFonts w:ascii="Arial" w:hAnsi="Arial" w:cs="Arial"/>
                <w:sz w:val="24"/>
                <w:szCs w:val="24"/>
              </w:rPr>
              <w:t>s</w:t>
            </w:r>
            <w:r w:rsidRPr="00720BB4">
              <w:rPr>
                <w:rFonts w:ascii="Arial" w:hAnsi="Arial" w:cs="Arial"/>
                <w:sz w:val="24"/>
                <w:szCs w:val="24"/>
              </w:rPr>
              <w:t>ozialer</w:t>
            </w:r>
            <w:r w:rsidR="00B34CB3">
              <w:rPr>
                <w:rFonts w:ascii="Arial" w:hAnsi="Arial" w:cs="Arial"/>
                <w:sz w:val="24"/>
                <w:szCs w:val="24"/>
              </w:rPr>
              <w:t xml:space="preserve"> </w:t>
            </w:r>
            <w:r>
              <w:rPr>
                <w:rFonts w:ascii="Arial" w:hAnsi="Arial" w:cs="Arial"/>
                <w:sz w:val="24"/>
                <w:szCs w:val="24"/>
              </w:rPr>
              <w:t>Raum</w:t>
            </w:r>
          </w:p>
        </w:tc>
        <w:tc>
          <w:tcPr>
            <w:tcW w:w="2234" w:type="dxa"/>
          </w:tcPr>
          <w:p w:rsidR="00E92923" w:rsidRDefault="00E92923" w:rsidP="00CA58FC">
            <w:pPr>
              <w:rPr>
                <w:rFonts w:ascii="Arial" w:hAnsi="Arial" w:cs="Arial"/>
                <w:sz w:val="24"/>
                <w:szCs w:val="24"/>
              </w:rPr>
            </w:pPr>
          </w:p>
          <w:p w:rsidR="00720BB4" w:rsidRPr="00720BB4" w:rsidRDefault="00E92923" w:rsidP="00CA58FC">
            <w:pPr>
              <w:rPr>
                <w:rFonts w:ascii="Arial" w:hAnsi="Arial" w:cs="Arial"/>
                <w:sz w:val="24"/>
                <w:szCs w:val="24"/>
              </w:rPr>
            </w:pPr>
            <w:r>
              <w:rPr>
                <w:rFonts w:ascii="Arial" w:hAnsi="Arial" w:cs="Arial"/>
                <w:sz w:val="24"/>
                <w:szCs w:val="24"/>
              </w:rPr>
              <w:t>Text-Beispiele</w:t>
            </w:r>
          </w:p>
        </w:tc>
      </w:tr>
      <w:tr w:rsidR="00720BB4" w:rsidTr="00E92923">
        <w:tc>
          <w:tcPr>
            <w:tcW w:w="3001" w:type="dxa"/>
            <w:tcBorders>
              <w:bottom w:val="single" w:sz="4" w:space="0" w:color="auto"/>
            </w:tcBorders>
          </w:tcPr>
          <w:p w:rsidR="00CA58FC" w:rsidRPr="00E92923" w:rsidRDefault="00E92923" w:rsidP="00E92923">
            <w:pPr>
              <w:pStyle w:val="Listenabsatz"/>
              <w:numPr>
                <w:ilvl w:val="0"/>
                <w:numId w:val="7"/>
              </w:numPr>
              <w:rPr>
                <w:rFonts w:ascii="Arial" w:hAnsi="Arial" w:cs="Arial"/>
                <w:sz w:val="24"/>
                <w:szCs w:val="24"/>
              </w:rPr>
            </w:pPr>
            <w:r>
              <w:rPr>
                <w:rFonts w:ascii="Arial" w:hAnsi="Arial" w:cs="Arial"/>
                <w:sz w:val="24"/>
                <w:szCs w:val="24"/>
              </w:rPr>
              <w:t>Serielle Selbstbezogenheit</w:t>
            </w:r>
            <w:r w:rsidR="00B34CB3">
              <w:rPr>
                <w:rFonts w:ascii="Arial" w:hAnsi="Arial" w:cs="Arial"/>
                <w:sz w:val="24"/>
                <w:szCs w:val="24"/>
              </w:rPr>
              <w:t xml:space="preserve"> der Institution</w:t>
            </w:r>
            <w:r w:rsidR="00720BB4" w:rsidRPr="00E92923">
              <w:rPr>
                <w:rFonts w:ascii="Arial" w:hAnsi="Arial" w:cs="Arial"/>
                <w:sz w:val="24"/>
                <w:szCs w:val="24"/>
              </w:rPr>
              <w:t xml:space="preserve"> </w:t>
            </w:r>
          </w:p>
        </w:tc>
        <w:tc>
          <w:tcPr>
            <w:tcW w:w="2069" w:type="dxa"/>
          </w:tcPr>
          <w:p w:rsidR="00CA58FC" w:rsidRPr="00E92923" w:rsidRDefault="00E92923" w:rsidP="00E92923">
            <w:pPr>
              <w:rPr>
                <w:rFonts w:ascii="Arial" w:hAnsi="Arial" w:cs="Arial"/>
                <w:sz w:val="24"/>
                <w:szCs w:val="24"/>
              </w:rPr>
            </w:pPr>
            <w:r>
              <w:rPr>
                <w:rFonts w:ascii="Arial" w:hAnsi="Arial" w:cs="Arial"/>
                <w:sz w:val="24"/>
                <w:szCs w:val="24"/>
              </w:rPr>
              <w:t xml:space="preserve">„Zelle“; kein Be-wegungsraum </w:t>
            </w:r>
          </w:p>
        </w:tc>
        <w:tc>
          <w:tcPr>
            <w:tcW w:w="1984" w:type="dxa"/>
          </w:tcPr>
          <w:p w:rsidR="00CA58FC" w:rsidRPr="00E92923" w:rsidRDefault="00E92923" w:rsidP="00E92923">
            <w:pPr>
              <w:rPr>
                <w:rFonts w:ascii="Arial" w:hAnsi="Arial" w:cs="Arial"/>
                <w:sz w:val="24"/>
                <w:szCs w:val="24"/>
              </w:rPr>
            </w:pPr>
            <w:r>
              <w:rPr>
                <w:rFonts w:ascii="Arial" w:hAnsi="Arial" w:cs="Arial"/>
                <w:sz w:val="24"/>
                <w:szCs w:val="24"/>
              </w:rPr>
              <w:t>Objekt; keine Kontakte</w:t>
            </w:r>
          </w:p>
        </w:tc>
        <w:tc>
          <w:tcPr>
            <w:tcW w:w="2234" w:type="dxa"/>
          </w:tcPr>
          <w:p w:rsidR="00CA58FC" w:rsidRDefault="000B46DA" w:rsidP="00CA58FC">
            <w:pPr>
              <w:rPr>
                <w:rFonts w:ascii="Arial" w:hAnsi="Arial" w:cs="Arial"/>
                <w:sz w:val="24"/>
                <w:szCs w:val="24"/>
              </w:rPr>
            </w:pPr>
            <w:r>
              <w:rPr>
                <w:rFonts w:ascii="Arial" w:hAnsi="Arial" w:cs="Arial"/>
                <w:sz w:val="24"/>
                <w:szCs w:val="24"/>
              </w:rPr>
              <w:t>„time-out“-Räume,</w:t>
            </w:r>
          </w:p>
          <w:p w:rsidR="000B46DA" w:rsidRDefault="000B46DA" w:rsidP="00CA58FC">
            <w:pPr>
              <w:rPr>
                <w:rFonts w:ascii="Arial" w:hAnsi="Arial" w:cs="Arial"/>
                <w:sz w:val="24"/>
                <w:szCs w:val="24"/>
              </w:rPr>
            </w:pPr>
            <w:r>
              <w:rPr>
                <w:rFonts w:ascii="Arial" w:hAnsi="Arial" w:cs="Arial"/>
                <w:sz w:val="24"/>
                <w:szCs w:val="24"/>
              </w:rPr>
              <w:t>Token-Systeme,</w:t>
            </w:r>
          </w:p>
          <w:p w:rsidR="000B46DA" w:rsidRPr="00B34CB3" w:rsidRDefault="000B46DA" w:rsidP="00CA58FC">
            <w:pPr>
              <w:rPr>
                <w:rFonts w:ascii="Arial" w:hAnsi="Arial" w:cs="Arial"/>
                <w:sz w:val="24"/>
                <w:szCs w:val="24"/>
              </w:rPr>
            </w:pPr>
            <w:r>
              <w:rPr>
                <w:rFonts w:ascii="Arial" w:hAnsi="Arial" w:cs="Arial"/>
                <w:sz w:val="24"/>
                <w:szCs w:val="24"/>
              </w:rPr>
              <w:t>„Begrenzungen“</w:t>
            </w:r>
          </w:p>
        </w:tc>
      </w:tr>
      <w:tr w:rsidR="00720BB4" w:rsidTr="00E92923">
        <w:tc>
          <w:tcPr>
            <w:tcW w:w="3001" w:type="dxa"/>
            <w:tcBorders>
              <w:top w:val="single" w:sz="4" w:space="0" w:color="auto"/>
            </w:tcBorders>
          </w:tcPr>
          <w:p w:rsidR="00CA58FC" w:rsidRPr="00B34CB3" w:rsidRDefault="00B34CB3" w:rsidP="00B34CB3">
            <w:pPr>
              <w:pStyle w:val="Listenabsatz"/>
              <w:numPr>
                <w:ilvl w:val="0"/>
                <w:numId w:val="7"/>
              </w:numPr>
              <w:rPr>
                <w:rFonts w:ascii="Arial" w:hAnsi="Arial" w:cs="Arial"/>
                <w:sz w:val="24"/>
                <w:szCs w:val="24"/>
              </w:rPr>
            </w:pPr>
            <w:r>
              <w:rPr>
                <w:rFonts w:ascii="Arial" w:hAnsi="Arial" w:cs="Arial"/>
                <w:sz w:val="24"/>
                <w:szCs w:val="24"/>
              </w:rPr>
              <w:t>Fortgeschrittene Schließung</w:t>
            </w:r>
          </w:p>
        </w:tc>
        <w:tc>
          <w:tcPr>
            <w:tcW w:w="2069" w:type="dxa"/>
          </w:tcPr>
          <w:p w:rsidR="00CA58FC" w:rsidRPr="00B34CB3" w:rsidRDefault="00B34CB3" w:rsidP="00CA58FC">
            <w:pPr>
              <w:rPr>
                <w:rFonts w:ascii="Arial" w:hAnsi="Arial" w:cs="Arial"/>
                <w:sz w:val="24"/>
                <w:szCs w:val="24"/>
              </w:rPr>
            </w:pPr>
            <w:r>
              <w:rPr>
                <w:rFonts w:ascii="Arial" w:hAnsi="Arial" w:cs="Arial"/>
                <w:sz w:val="24"/>
                <w:szCs w:val="24"/>
              </w:rPr>
              <w:t>Kontrollierte Räume</w:t>
            </w:r>
          </w:p>
        </w:tc>
        <w:tc>
          <w:tcPr>
            <w:tcW w:w="1984" w:type="dxa"/>
          </w:tcPr>
          <w:p w:rsidR="00CA58FC" w:rsidRPr="00B34CB3" w:rsidRDefault="00B34CB3" w:rsidP="00817A31">
            <w:pPr>
              <w:rPr>
                <w:rFonts w:ascii="Arial" w:hAnsi="Arial" w:cs="Arial"/>
                <w:sz w:val="24"/>
                <w:szCs w:val="24"/>
              </w:rPr>
            </w:pPr>
            <w:r>
              <w:rPr>
                <w:rFonts w:ascii="Arial" w:hAnsi="Arial" w:cs="Arial"/>
                <w:sz w:val="24"/>
                <w:szCs w:val="24"/>
              </w:rPr>
              <w:t xml:space="preserve">Objekt; </w:t>
            </w:r>
            <w:r w:rsidR="00817A31">
              <w:rPr>
                <w:rFonts w:ascii="Arial" w:hAnsi="Arial" w:cs="Arial"/>
                <w:sz w:val="24"/>
                <w:szCs w:val="24"/>
              </w:rPr>
              <w:t>li</w:t>
            </w:r>
            <w:r w:rsidRPr="00B34CB3">
              <w:rPr>
                <w:rFonts w:ascii="Arial" w:hAnsi="Arial" w:cs="Arial"/>
                <w:sz w:val="24"/>
                <w:szCs w:val="24"/>
              </w:rPr>
              <w:t>zen</w:t>
            </w:r>
            <w:r w:rsidR="00817A31">
              <w:rPr>
                <w:rFonts w:ascii="Arial" w:hAnsi="Arial" w:cs="Arial"/>
                <w:sz w:val="24"/>
                <w:szCs w:val="24"/>
              </w:rPr>
              <w:t>-s</w:t>
            </w:r>
            <w:r w:rsidRPr="00B34CB3">
              <w:rPr>
                <w:rFonts w:ascii="Arial" w:hAnsi="Arial" w:cs="Arial"/>
                <w:sz w:val="24"/>
                <w:szCs w:val="24"/>
              </w:rPr>
              <w:t xml:space="preserve">ierte </w:t>
            </w:r>
            <w:r w:rsidR="00817A31">
              <w:rPr>
                <w:rFonts w:ascii="Arial" w:hAnsi="Arial" w:cs="Arial"/>
                <w:sz w:val="24"/>
                <w:szCs w:val="24"/>
              </w:rPr>
              <w:t>K</w:t>
            </w:r>
            <w:r w:rsidRPr="00B34CB3">
              <w:rPr>
                <w:rFonts w:ascii="Arial" w:hAnsi="Arial" w:cs="Arial"/>
                <w:sz w:val="24"/>
                <w:szCs w:val="24"/>
              </w:rPr>
              <w:t>ontakte</w:t>
            </w:r>
          </w:p>
        </w:tc>
        <w:tc>
          <w:tcPr>
            <w:tcW w:w="2234" w:type="dxa"/>
          </w:tcPr>
          <w:p w:rsidR="00CA58FC" w:rsidRPr="00B34CB3" w:rsidRDefault="00B34CB3" w:rsidP="00B34CB3">
            <w:pPr>
              <w:rPr>
                <w:rFonts w:ascii="Arial" w:hAnsi="Arial" w:cs="Arial"/>
                <w:sz w:val="24"/>
                <w:szCs w:val="24"/>
              </w:rPr>
            </w:pPr>
            <w:r w:rsidRPr="00B34CB3">
              <w:rPr>
                <w:rFonts w:ascii="Arial" w:hAnsi="Arial" w:cs="Arial"/>
                <w:sz w:val="24"/>
                <w:szCs w:val="24"/>
              </w:rPr>
              <w:t>Einhalten von Regeln</w:t>
            </w:r>
            <w:r>
              <w:rPr>
                <w:rFonts w:ascii="Arial" w:hAnsi="Arial" w:cs="Arial"/>
                <w:sz w:val="24"/>
                <w:szCs w:val="24"/>
              </w:rPr>
              <w:t>/</w:t>
            </w:r>
            <w:r w:rsidRPr="00B34CB3">
              <w:rPr>
                <w:rFonts w:ascii="Arial" w:hAnsi="Arial" w:cs="Arial"/>
                <w:sz w:val="24"/>
                <w:szCs w:val="24"/>
              </w:rPr>
              <w:t>Grenzen</w:t>
            </w:r>
          </w:p>
        </w:tc>
      </w:tr>
      <w:tr w:rsidR="00720BB4" w:rsidTr="00E92923">
        <w:tc>
          <w:tcPr>
            <w:tcW w:w="3001" w:type="dxa"/>
          </w:tcPr>
          <w:p w:rsidR="00CA58FC" w:rsidRPr="00B34CB3" w:rsidRDefault="00B34CB3" w:rsidP="00B34CB3">
            <w:pPr>
              <w:pStyle w:val="Listenabsatz"/>
              <w:numPr>
                <w:ilvl w:val="0"/>
                <w:numId w:val="7"/>
              </w:numPr>
              <w:rPr>
                <w:rFonts w:ascii="Arial" w:hAnsi="Arial" w:cs="Arial"/>
                <w:sz w:val="24"/>
                <w:szCs w:val="24"/>
              </w:rPr>
            </w:pPr>
            <w:r>
              <w:rPr>
                <w:rFonts w:ascii="Arial" w:hAnsi="Arial" w:cs="Arial"/>
                <w:sz w:val="24"/>
                <w:szCs w:val="24"/>
              </w:rPr>
              <w:t>Institutionelle Verbindlichkeit</w:t>
            </w:r>
          </w:p>
        </w:tc>
        <w:tc>
          <w:tcPr>
            <w:tcW w:w="2069" w:type="dxa"/>
          </w:tcPr>
          <w:p w:rsidR="00CA58FC" w:rsidRPr="00B34CB3" w:rsidRDefault="00817A31" w:rsidP="00CA58FC">
            <w:pPr>
              <w:rPr>
                <w:rFonts w:ascii="Arial" w:hAnsi="Arial" w:cs="Arial"/>
                <w:sz w:val="24"/>
                <w:szCs w:val="24"/>
              </w:rPr>
            </w:pPr>
            <w:r>
              <w:rPr>
                <w:rFonts w:ascii="Arial" w:hAnsi="Arial" w:cs="Arial"/>
                <w:sz w:val="24"/>
                <w:szCs w:val="24"/>
              </w:rPr>
              <w:t>Absprachen über Raumnutzung</w:t>
            </w:r>
          </w:p>
        </w:tc>
        <w:tc>
          <w:tcPr>
            <w:tcW w:w="1984" w:type="dxa"/>
          </w:tcPr>
          <w:p w:rsidR="00CA58FC" w:rsidRPr="00817A31" w:rsidRDefault="00DC641B" w:rsidP="00CA58FC">
            <w:pPr>
              <w:rPr>
                <w:rFonts w:ascii="Arial" w:hAnsi="Arial" w:cs="Arial"/>
                <w:sz w:val="24"/>
                <w:szCs w:val="24"/>
              </w:rPr>
            </w:pPr>
            <w:r>
              <w:rPr>
                <w:rFonts w:ascii="Arial" w:hAnsi="Arial" w:cs="Arial"/>
                <w:sz w:val="24"/>
                <w:szCs w:val="24"/>
              </w:rPr>
              <w:t>Absprachen über Regeln</w:t>
            </w:r>
          </w:p>
        </w:tc>
        <w:tc>
          <w:tcPr>
            <w:tcW w:w="2234" w:type="dxa"/>
          </w:tcPr>
          <w:p w:rsidR="00CA58FC" w:rsidRPr="00DC641B" w:rsidRDefault="000B46DA" w:rsidP="000B46DA">
            <w:pPr>
              <w:rPr>
                <w:rFonts w:ascii="Arial" w:hAnsi="Arial" w:cs="Arial"/>
                <w:sz w:val="24"/>
                <w:szCs w:val="24"/>
              </w:rPr>
            </w:pPr>
            <w:r>
              <w:rPr>
                <w:rFonts w:ascii="Arial" w:hAnsi="Arial" w:cs="Arial"/>
                <w:sz w:val="24"/>
                <w:szCs w:val="24"/>
              </w:rPr>
              <w:t xml:space="preserve">Schulbesuch;aus- gewählte </w:t>
            </w:r>
            <w:r w:rsidR="00DC641B">
              <w:rPr>
                <w:rFonts w:ascii="Arial" w:hAnsi="Arial" w:cs="Arial"/>
                <w:sz w:val="24"/>
                <w:szCs w:val="24"/>
              </w:rPr>
              <w:t>Kontakte</w:t>
            </w:r>
          </w:p>
        </w:tc>
      </w:tr>
      <w:tr w:rsidR="00720BB4" w:rsidTr="00E92923">
        <w:tc>
          <w:tcPr>
            <w:tcW w:w="3001" w:type="dxa"/>
          </w:tcPr>
          <w:p w:rsidR="00CA58FC" w:rsidRPr="005B2783" w:rsidRDefault="005B2783" w:rsidP="005B2783">
            <w:pPr>
              <w:pStyle w:val="Listenabsatz"/>
              <w:numPr>
                <w:ilvl w:val="0"/>
                <w:numId w:val="7"/>
              </w:numPr>
              <w:rPr>
                <w:rFonts w:ascii="Arial" w:hAnsi="Arial" w:cs="Arial"/>
                <w:sz w:val="24"/>
                <w:szCs w:val="24"/>
              </w:rPr>
            </w:pPr>
            <w:r>
              <w:rPr>
                <w:rFonts w:ascii="Arial" w:hAnsi="Arial" w:cs="Arial"/>
                <w:sz w:val="24"/>
                <w:szCs w:val="24"/>
              </w:rPr>
              <w:t>Lebensweltliche Verlässlichkeit</w:t>
            </w:r>
          </w:p>
        </w:tc>
        <w:tc>
          <w:tcPr>
            <w:tcW w:w="2069" w:type="dxa"/>
          </w:tcPr>
          <w:p w:rsidR="00CA58FC" w:rsidRPr="005B2783" w:rsidRDefault="005B2783" w:rsidP="00CA58FC">
            <w:pPr>
              <w:rPr>
                <w:rFonts w:ascii="Arial" w:hAnsi="Arial" w:cs="Arial"/>
                <w:sz w:val="24"/>
                <w:szCs w:val="24"/>
              </w:rPr>
            </w:pPr>
            <w:r w:rsidRPr="005B2783">
              <w:rPr>
                <w:rFonts w:ascii="Arial" w:hAnsi="Arial" w:cs="Arial"/>
                <w:sz w:val="24"/>
                <w:szCs w:val="24"/>
              </w:rPr>
              <w:t>Funktionale Raumnutzung</w:t>
            </w:r>
          </w:p>
        </w:tc>
        <w:tc>
          <w:tcPr>
            <w:tcW w:w="1984" w:type="dxa"/>
          </w:tcPr>
          <w:p w:rsidR="00CA58FC" w:rsidRPr="005B2783" w:rsidRDefault="005B2783" w:rsidP="00CA58FC">
            <w:pPr>
              <w:rPr>
                <w:rFonts w:ascii="Arial" w:hAnsi="Arial" w:cs="Arial"/>
                <w:sz w:val="24"/>
                <w:szCs w:val="24"/>
              </w:rPr>
            </w:pPr>
            <w:r>
              <w:rPr>
                <w:rFonts w:ascii="Arial" w:hAnsi="Arial" w:cs="Arial"/>
                <w:sz w:val="24"/>
                <w:szCs w:val="24"/>
              </w:rPr>
              <w:t>Alltagsweltliche Vertrautheit</w:t>
            </w:r>
          </w:p>
        </w:tc>
        <w:tc>
          <w:tcPr>
            <w:tcW w:w="2234" w:type="dxa"/>
          </w:tcPr>
          <w:p w:rsidR="00CA58FC" w:rsidRPr="005B2783" w:rsidRDefault="005B2783" w:rsidP="00CA58FC">
            <w:pPr>
              <w:rPr>
                <w:rFonts w:ascii="Arial" w:hAnsi="Arial" w:cs="Arial"/>
                <w:sz w:val="24"/>
                <w:szCs w:val="24"/>
              </w:rPr>
            </w:pPr>
            <w:r w:rsidRPr="005B2783">
              <w:rPr>
                <w:rFonts w:ascii="Arial" w:hAnsi="Arial" w:cs="Arial"/>
                <w:sz w:val="24"/>
                <w:szCs w:val="24"/>
              </w:rPr>
              <w:t>Mittagessen, Sport, Hausaufgaben</w:t>
            </w:r>
          </w:p>
        </w:tc>
      </w:tr>
      <w:tr w:rsidR="00720BB4" w:rsidTr="00E92923">
        <w:tc>
          <w:tcPr>
            <w:tcW w:w="3001" w:type="dxa"/>
          </w:tcPr>
          <w:p w:rsidR="00CA58FC" w:rsidRPr="005B2783" w:rsidRDefault="005B2783" w:rsidP="005B2783">
            <w:pPr>
              <w:pStyle w:val="Listenabsatz"/>
              <w:numPr>
                <w:ilvl w:val="0"/>
                <w:numId w:val="7"/>
              </w:numPr>
              <w:rPr>
                <w:rFonts w:ascii="Arial" w:hAnsi="Arial" w:cs="Arial"/>
                <w:sz w:val="24"/>
                <w:szCs w:val="24"/>
              </w:rPr>
            </w:pPr>
            <w:r>
              <w:rPr>
                <w:rFonts w:ascii="Arial" w:hAnsi="Arial" w:cs="Arial"/>
                <w:sz w:val="24"/>
                <w:szCs w:val="24"/>
              </w:rPr>
              <w:t>Bestätigende Öffnung</w:t>
            </w:r>
          </w:p>
        </w:tc>
        <w:tc>
          <w:tcPr>
            <w:tcW w:w="2069" w:type="dxa"/>
          </w:tcPr>
          <w:p w:rsidR="00CA58FC" w:rsidRPr="005B2783" w:rsidRDefault="005B2783" w:rsidP="00CA58FC">
            <w:pPr>
              <w:rPr>
                <w:rFonts w:ascii="Arial" w:hAnsi="Arial" w:cs="Arial"/>
                <w:sz w:val="24"/>
                <w:szCs w:val="24"/>
              </w:rPr>
            </w:pPr>
            <w:r w:rsidRPr="005B2783">
              <w:rPr>
                <w:rFonts w:ascii="Arial" w:hAnsi="Arial" w:cs="Arial"/>
                <w:sz w:val="24"/>
                <w:szCs w:val="24"/>
              </w:rPr>
              <w:t>Besuchen neuer Orte</w:t>
            </w:r>
          </w:p>
        </w:tc>
        <w:tc>
          <w:tcPr>
            <w:tcW w:w="1984" w:type="dxa"/>
          </w:tcPr>
          <w:p w:rsidR="00CA58FC" w:rsidRPr="005B2783" w:rsidRDefault="005B2783" w:rsidP="00187393">
            <w:pPr>
              <w:rPr>
                <w:rFonts w:ascii="Arial" w:hAnsi="Arial" w:cs="Arial"/>
                <w:sz w:val="24"/>
                <w:szCs w:val="24"/>
              </w:rPr>
            </w:pPr>
            <w:r>
              <w:rPr>
                <w:rFonts w:ascii="Arial" w:hAnsi="Arial" w:cs="Arial"/>
                <w:sz w:val="24"/>
                <w:szCs w:val="24"/>
              </w:rPr>
              <w:t xml:space="preserve">Subjekt; </w:t>
            </w:r>
            <w:r w:rsidR="00187393">
              <w:rPr>
                <w:rFonts w:ascii="Arial" w:hAnsi="Arial" w:cs="Arial"/>
                <w:sz w:val="24"/>
                <w:szCs w:val="24"/>
              </w:rPr>
              <w:t xml:space="preserve">selbst-best. </w:t>
            </w:r>
            <w:r>
              <w:rPr>
                <w:rFonts w:ascii="Arial" w:hAnsi="Arial" w:cs="Arial"/>
                <w:sz w:val="24"/>
                <w:szCs w:val="24"/>
              </w:rPr>
              <w:t>Kontakte</w:t>
            </w:r>
          </w:p>
        </w:tc>
        <w:tc>
          <w:tcPr>
            <w:tcW w:w="2234" w:type="dxa"/>
          </w:tcPr>
          <w:p w:rsidR="00CA58FC" w:rsidRPr="00187393" w:rsidRDefault="00187393" w:rsidP="000B46DA">
            <w:pPr>
              <w:rPr>
                <w:rFonts w:ascii="Arial" w:hAnsi="Arial" w:cs="Arial"/>
                <w:sz w:val="24"/>
                <w:szCs w:val="24"/>
              </w:rPr>
            </w:pPr>
            <w:r>
              <w:rPr>
                <w:rFonts w:ascii="Arial" w:hAnsi="Arial" w:cs="Arial"/>
                <w:sz w:val="24"/>
                <w:szCs w:val="24"/>
              </w:rPr>
              <w:t>Fördern</w:t>
            </w:r>
            <w:r w:rsidR="000B46DA">
              <w:rPr>
                <w:rFonts w:ascii="Arial" w:hAnsi="Arial" w:cs="Arial"/>
                <w:sz w:val="24"/>
                <w:szCs w:val="24"/>
              </w:rPr>
              <w:t xml:space="preserve"> persönl.</w:t>
            </w:r>
            <w:r>
              <w:rPr>
                <w:rFonts w:ascii="Arial" w:hAnsi="Arial" w:cs="Arial"/>
                <w:sz w:val="24"/>
                <w:szCs w:val="24"/>
              </w:rPr>
              <w:t xml:space="preserve"> Interessen</w:t>
            </w:r>
          </w:p>
        </w:tc>
      </w:tr>
      <w:tr w:rsidR="00720BB4" w:rsidTr="00E92923">
        <w:tc>
          <w:tcPr>
            <w:tcW w:w="3001" w:type="dxa"/>
          </w:tcPr>
          <w:p w:rsidR="00CA58FC" w:rsidRPr="00187393" w:rsidRDefault="00187393" w:rsidP="00187393">
            <w:pPr>
              <w:pStyle w:val="Listenabsatz"/>
              <w:numPr>
                <w:ilvl w:val="0"/>
                <w:numId w:val="7"/>
              </w:numPr>
              <w:rPr>
                <w:rFonts w:ascii="Arial" w:hAnsi="Arial" w:cs="Arial"/>
                <w:sz w:val="24"/>
                <w:szCs w:val="24"/>
              </w:rPr>
            </w:pPr>
            <w:r>
              <w:rPr>
                <w:rFonts w:ascii="Arial" w:hAnsi="Arial" w:cs="Arial"/>
                <w:sz w:val="24"/>
                <w:szCs w:val="24"/>
              </w:rPr>
              <w:t>Gemeinsames Projekt</w:t>
            </w:r>
          </w:p>
        </w:tc>
        <w:tc>
          <w:tcPr>
            <w:tcW w:w="2069" w:type="dxa"/>
          </w:tcPr>
          <w:p w:rsidR="00CA58FC" w:rsidRPr="00187393" w:rsidRDefault="00CF0E16" w:rsidP="00CF0E16">
            <w:pPr>
              <w:rPr>
                <w:rFonts w:ascii="Arial" w:hAnsi="Arial" w:cs="Arial"/>
                <w:sz w:val="24"/>
                <w:szCs w:val="24"/>
              </w:rPr>
            </w:pPr>
            <w:r>
              <w:rPr>
                <w:rFonts w:ascii="Arial" w:hAnsi="Arial" w:cs="Arial"/>
                <w:sz w:val="24"/>
                <w:szCs w:val="24"/>
              </w:rPr>
              <w:t>Suchen</w:t>
            </w:r>
            <w:r w:rsidR="00187393">
              <w:rPr>
                <w:rFonts w:ascii="Arial" w:hAnsi="Arial" w:cs="Arial"/>
                <w:sz w:val="24"/>
                <w:szCs w:val="24"/>
              </w:rPr>
              <w:t xml:space="preserve"> neuer Orte</w:t>
            </w:r>
          </w:p>
        </w:tc>
        <w:tc>
          <w:tcPr>
            <w:tcW w:w="1984" w:type="dxa"/>
          </w:tcPr>
          <w:p w:rsidR="00CA58FC" w:rsidRPr="00187393" w:rsidRDefault="00187393" w:rsidP="00187393">
            <w:pPr>
              <w:rPr>
                <w:rFonts w:ascii="Arial" w:hAnsi="Arial" w:cs="Arial"/>
                <w:sz w:val="24"/>
                <w:szCs w:val="24"/>
              </w:rPr>
            </w:pPr>
            <w:r>
              <w:rPr>
                <w:rFonts w:ascii="Arial" w:hAnsi="Arial" w:cs="Arial"/>
                <w:sz w:val="24"/>
                <w:szCs w:val="24"/>
              </w:rPr>
              <w:t>Subjekt; Vertrauen</w:t>
            </w:r>
          </w:p>
        </w:tc>
        <w:tc>
          <w:tcPr>
            <w:tcW w:w="2234" w:type="dxa"/>
          </w:tcPr>
          <w:p w:rsidR="00CA58FC" w:rsidRPr="00E417C4" w:rsidRDefault="00BF1C81" w:rsidP="000B46DA">
            <w:pPr>
              <w:rPr>
                <w:rFonts w:ascii="Arial" w:hAnsi="Arial" w:cs="Arial"/>
                <w:sz w:val="24"/>
                <w:szCs w:val="24"/>
              </w:rPr>
            </w:pPr>
            <w:r>
              <w:rPr>
                <w:rFonts w:ascii="Arial" w:hAnsi="Arial" w:cs="Arial"/>
                <w:sz w:val="24"/>
                <w:szCs w:val="24"/>
              </w:rPr>
              <w:t>Gemeinsame A</w:t>
            </w:r>
            <w:r w:rsidR="000B46DA">
              <w:rPr>
                <w:rFonts w:ascii="Arial" w:hAnsi="Arial" w:cs="Arial"/>
                <w:sz w:val="24"/>
                <w:szCs w:val="24"/>
              </w:rPr>
              <w:t>ktivitäten</w:t>
            </w:r>
          </w:p>
        </w:tc>
      </w:tr>
      <w:tr w:rsidR="00720BB4" w:rsidTr="00E92923">
        <w:tc>
          <w:tcPr>
            <w:tcW w:w="3001" w:type="dxa"/>
          </w:tcPr>
          <w:p w:rsidR="00E92923" w:rsidRDefault="00E92923" w:rsidP="00E92923">
            <w:pPr>
              <w:rPr>
                <w:rFonts w:ascii="Arial" w:hAnsi="Arial" w:cs="Arial"/>
                <w:sz w:val="24"/>
                <w:szCs w:val="24"/>
              </w:rPr>
            </w:pPr>
            <w:r>
              <w:rPr>
                <w:rFonts w:ascii="Arial" w:hAnsi="Arial" w:cs="Arial"/>
                <w:sz w:val="24"/>
                <w:szCs w:val="24"/>
              </w:rPr>
              <w:t>„gemeinsame Aufgabenbewältigung“:</w:t>
            </w:r>
          </w:p>
          <w:p w:rsidR="00CA58FC" w:rsidRDefault="00E92923" w:rsidP="00E92923">
            <w:pPr>
              <w:rPr>
                <w:rFonts w:ascii="Arial" w:hAnsi="Arial" w:cs="Arial"/>
                <w:b/>
                <w:sz w:val="24"/>
                <w:szCs w:val="24"/>
              </w:rPr>
            </w:pPr>
            <w:r>
              <w:rPr>
                <w:rFonts w:ascii="Arial" w:hAnsi="Arial" w:cs="Arial"/>
                <w:sz w:val="24"/>
                <w:szCs w:val="24"/>
              </w:rPr>
              <w:t>sozialräumliche Offenheit</w:t>
            </w:r>
          </w:p>
        </w:tc>
        <w:tc>
          <w:tcPr>
            <w:tcW w:w="2069" w:type="dxa"/>
          </w:tcPr>
          <w:p w:rsidR="00CA58FC" w:rsidRDefault="00CA58FC" w:rsidP="00CA58FC">
            <w:pPr>
              <w:rPr>
                <w:rFonts w:ascii="Arial" w:hAnsi="Arial" w:cs="Arial"/>
                <w:b/>
                <w:sz w:val="24"/>
                <w:szCs w:val="24"/>
              </w:rPr>
            </w:pPr>
          </w:p>
        </w:tc>
        <w:tc>
          <w:tcPr>
            <w:tcW w:w="1984" w:type="dxa"/>
          </w:tcPr>
          <w:p w:rsidR="00CA58FC" w:rsidRDefault="00CA58FC" w:rsidP="00CA58FC">
            <w:pPr>
              <w:rPr>
                <w:rFonts w:ascii="Arial" w:hAnsi="Arial" w:cs="Arial"/>
                <w:b/>
                <w:sz w:val="24"/>
                <w:szCs w:val="24"/>
              </w:rPr>
            </w:pPr>
          </w:p>
        </w:tc>
        <w:tc>
          <w:tcPr>
            <w:tcW w:w="2234" w:type="dxa"/>
          </w:tcPr>
          <w:p w:rsidR="00CA58FC" w:rsidRDefault="00CA58FC" w:rsidP="00CA58FC">
            <w:pPr>
              <w:rPr>
                <w:rFonts w:ascii="Arial" w:hAnsi="Arial" w:cs="Arial"/>
                <w:b/>
                <w:sz w:val="24"/>
                <w:szCs w:val="24"/>
              </w:rPr>
            </w:pPr>
          </w:p>
        </w:tc>
      </w:tr>
    </w:tbl>
    <w:p w:rsidR="00CA58FC" w:rsidRDefault="00CA58FC" w:rsidP="00CA58FC">
      <w:pPr>
        <w:spacing w:line="360" w:lineRule="auto"/>
        <w:rPr>
          <w:rFonts w:ascii="Arial" w:hAnsi="Arial" w:cs="Arial"/>
          <w:b/>
          <w:sz w:val="24"/>
          <w:szCs w:val="24"/>
        </w:rPr>
      </w:pPr>
    </w:p>
    <w:p w:rsidR="00137E3F" w:rsidRPr="00CA58FC" w:rsidRDefault="00137E3F" w:rsidP="00CA58FC">
      <w:pPr>
        <w:spacing w:line="360" w:lineRule="auto"/>
        <w:rPr>
          <w:rFonts w:ascii="Arial" w:hAnsi="Arial" w:cs="Arial"/>
          <w:b/>
          <w:sz w:val="24"/>
          <w:szCs w:val="24"/>
        </w:rPr>
      </w:pPr>
    </w:p>
    <w:p w:rsidR="0085635E" w:rsidRPr="00475A3D" w:rsidRDefault="0085635E">
      <w:pPr>
        <w:rPr>
          <w:rFonts w:ascii="Arial" w:hAnsi="Arial" w:cs="Arial"/>
          <w:sz w:val="24"/>
          <w:szCs w:val="24"/>
        </w:rPr>
      </w:pPr>
    </w:p>
    <w:sectPr w:rsidR="0085635E" w:rsidRPr="00475A3D" w:rsidSect="006D252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7" w:rsidRDefault="008179C7" w:rsidP="008E0A7F">
      <w:pPr>
        <w:spacing w:after="0" w:line="240" w:lineRule="auto"/>
      </w:pPr>
      <w:r>
        <w:separator/>
      </w:r>
    </w:p>
  </w:endnote>
  <w:endnote w:type="continuationSeparator" w:id="0">
    <w:p w:rsidR="008179C7" w:rsidRDefault="008179C7" w:rsidP="008E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911"/>
      <w:docPartObj>
        <w:docPartGallery w:val="Page Numbers (Bottom of Page)"/>
        <w:docPartUnique/>
      </w:docPartObj>
    </w:sdtPr>
    <w:sdtEndPr/>
    <w:sdtContent>
      <w:p w:rsidR="008E0A7F" w:rsidRDefault="008179C7">
        <w:pPr>
          <w:pStyle w:val="Fuzeile"/>
          <w:jc w:val="center"/>
        </w:pPr>
        <w:r>
          <w:fldChar w:fldCharType="begin"/>
        </w:r>
        <w:r>
          <w:instrText xml:space="preserve"> PAGE   \* MERGEFORMAT </w:instrText>
        </w:r>
        <w:r>
          <w:fldChar w:fldCharType="separate"/>
        </w:r>
        <w:r w:rsidR="001025F9">
          <w:rPr>
            <w:noProof/>
          </w:rPr>
          <w:t>1</w:t>
        </w:r>
        <w:r>
          <w:rPr>
            <w:noProof/>
          </w:rPr>
          <w:fldChar w:fldCharType="end"/>
        </w:r>
      </w:p>
    </w:sdtContent>
  </w:sdt>
  <w:p w:rsidR="008E0A7F" w:rsidRDefault="008E0A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7" w:rsidRDefault="008179C7" w:rsidP="008E0A7F">
      <w:pPr>
        <w:spacing w:after="0" w:line="240" w:lineRule="auto"/>
      </w:pPr>
      <w:r>
        <w:separator/>
      </w:r>
    </w:p>
  </w:footnote>
  <w:footnote w:type="continuationSeparator" w:id="0">
    <w:p w:rsidR="008179C7" w:rsidRDefault="008179C7" w:rsidP="008E0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4EA"/>
    <w:multiLevelType w:val="hybridMultilevel"/>
    <w:tmpl w:val="22EC1E16"/>
    <w:lvl w:ilvl="0" w:tplc="04070015">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14D32702"/>
    <w:multiLevelType w:val="hybridMultilevel"/>
    <w:tmpl w:val="35382EAC"/>
    <w:lvl w:ilvl="0" w:tplc="3B8862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DA7E77"/>
    <w:multiLevelType w:val="hybridMultilevel"/>
    <w:tmpl w:val="A64088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DD681B"/>
    <w:multiLevelType w:val="hybridMultilevel"/>
    <w:tmpl w:val="1D78F0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EF14792"/>
    <w:multiLevelType w:val="hybridMultilevel"/>
    <w:tmpl w:val="4A8098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F93748"/>
    <w:multiLevelType w:val="hybridMultilevel"/>
    <w:tmpl w:val="6C14A4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C871AD"/>
    <w:multiLevelType w:val="hybridMultilevel"/>
    <w:tmpl w:val="3A8A111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7D36196-E1B2-452F-9A09-D22D7932E053}"/>
    <w:docVar w:name="dgnword-eventsink" w:val="121015440"/>
  </w:docVars>
  <w:rsids>
    <w:rsidRoot w:val="00475A3D"/>
    <w:rsid w:val="000B46DA"/>
    <w:rsid w:val="000E79C3"/>
    <w:rsid w:val="001025F9"/>
    <w:rsid w:val="00137E3F"/>
    <w:rsid w:val="00187393"/>
    <w:rsid w:val="001E658D"/>
    <w:rsid w:val="003F1BA1"/>
    <w:rsid w:val="00475A3D"/>
    <w:rsid w:val="005B2783"/>
    <w:rsid w:val="00720BB4"/>
    <w:rsid w:val="008179C7"/>
    <w:rsid w:val="00817A31"/>
    <w:rsid w:val="00837AC0"/>
    <w:rsid w:val="0085635E"/>
    <w:rsid w:val="008E0A7F"/>
    <w:rsid w:val="00B11632"/>
    <w:rsid w:val="00B34CB3"/>
    <w:rsid w:val="00BF1C81"/>
    <w:rsid w:val="00C827D5"/>
    <w:rsid w:val="00CA58FC"/>
    <w:rsid w:val="00CC7C00"/>
    <w:rsid w:val="00CF0E16"/>
    <w:rsid w:val="00CF5DAC"/>
    <w:rsid w:val="00D76A17"/>
    <w:rsid w:val="00DC641B"/>
    <w:rsid w:val="00E27ADC"/>
    <w:rsid w:val="00E417C4"/>
    <w:rsid w:val="00E92923"/>
    <w:rsid w:val="00F60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A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1BA1"/>
    <w:pPr>
      <w:ind w:left="720"/>
      <w:contextualSpacing/>
    </w:pPr>
  </w:style>
  <w:style w:type="table" w:styleId="Tabellenraster">
    <w:name w:val="Table Grid"/>
    <w:basedOn w:val="NormaleTabelle"/>
    <w:uiPriority w:val="59"/>
    <w:rsid w:val="00CA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7A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ADC"/>
    <w:rPr>
      <w:rFonts w:ascii="Tahoma" w:hAnsi="Tahoma" w:cs="Tahoma"/>
      <w:sz w:val="16"/>
      <w:szCs w:val="16"/>
    </w:rPr>
  </w:style>
  <w:style w:type="paragraph" w:styleId="Kopfzeile">
    <w:name w:val="header"/>
    <w:basedOn w:val="Standard"/>
    <w:link w:val="KopfzeileZchn"/>
    <w:uiPriority w:val="99"/>
    <w:semiHidden/>
    <w:unhideWhenUsed/>
    <w:rsid w:val="008E0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E0A7F"/>
  </w:style>
  <w:style w:type="paragraph" w:styleId="Fuzeile">
    <w:name w:val="footer"/>
    <w:basedOn w:val="Standard"/>
    <w:link w:val="FuzeileZchn"/>
    <w:uiPriority w:val="99"/>
    <w:unhideWhenUsed/>
    <w:rsid w:val="008E0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9A536-836A-49E7-859F-F185743C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Doro</cp:lastModifiedBy>
  <cp:revision>2</cp:revision>
  <cp:lastPrinted>2014-09-09T08:53:00Z</cp:lastPrinted>
  <dcterms:created xsi:type="dcterms:W3CDTF">2014-09-10T08:31:00Z</dcterms:created>
  <dcterms:modified xsi:type="dcterms:W3CDTF">2014-09-10T08:31:00Z</dcterms:modified>
</cp:coreProperties>
</file>